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widowControl w:val="1"/>
      </w:pPr>
      <w:r>
        <w:rPr>
          <w:rFonts w:ascii="Aptos Display" w:hAnsi="Aptos Display"/>
          <w:b/>
          <w:color w:val="5B2EEA"/>
          <w:sz w:val="30"/>
        </w:rPr>
        <w:t>GAMIFY</w:t>
      </w:r>
    </w:p>
    <w:p>
      <w:pPr>
        <w:pStyle w:val="Title"/>
        <w:jc w:val="center"/>
        <w:widowControl w:val="1"/>
      </w:pPr>
      <w:r>
        <w:t>Community Guidelines</w:t>
      </w:r>
    </w:p>
    <w:p>
      <w:pPr>
        <w:jc w:val="center"/>
        <w:widowControl w:val="1"/>
      </w:pPr>
      <w:r>
        <w:rPr>
          <w:b/>
          <w:color w:val="5B2EEA"/>
          <w:sz w:val="24"/>
        </w:rPr>
        <w:t>Version 1.0</w:t>
      </w:r>
    </w:p>
    <w:p>
      <w:pPr>
        <w:jc w:val="center"/>
        <w:widowControl w:val="1"/>
      </w:pPr>
      <w:r>
        <w:rPr>
          <w:color w:val="5D6476"/>
          <w:sz w:val="21"/>
        </w:rPr>
        <w:t>A practical code of conduct for safe, respectful and fair use of Gamify</w:t>
      </w:r>
    </w:p>
    <w:tbl>
      <w:tblPr>
        <w:tblW w:type="auto" w:w="0"/>
        <w:jc w:val="center"/>
        <w:tblLayout w:type="autofit"/>
        <w:tblLook w:firstColumn="1" w:firstRow="1" w:lastColumn="0" w:lastRow="0" w:noHBand="0" w:noVBand="1" w:val="04A0"/>
      </w:tblPr>
      <w:tblGrid>
        <w:gridCol w:w="9994"/>
      </w:tblGrid>
      <w:tr>
        <w:tc>
          <w:tcPr>
            <w:tcW w:type="dxa" w:w="9994"/>
            <w:shd w:fill="F2EEFF"/>
            <w:tcBorders>
              <w:top w:val="single" w:sz="10" w:color="5B2EEA"/>
              <w:left w:val="single" w:sz="10" w:color="5B2EEA"/>
              <w:bottom w:val="single" w:sz="10" w:color="5B2EEA"/>
              <w:right w:val="single" w:sz="10" w:color="5B2EEA"/>
            </w:tcBorders>
            <w:vAlign w:val="center"/>
          </w:tcPr>
          <w:p>
            <w:pPr>
              <w:jc w:val="center"/>
            </w:pPr>
            <w:r>
              <w:rPr>
                <w:b/>
                <w:color w:val="5B2EEA"/>
                <w:sz w:val="22"/>
              </w:rPr>
              <w:t>Be respectful. Protect privacy. Participate honestly. Keep young people safe.</w:t>
            </w:r>
          </w:p>
        </w:tc>
      </w:tr>
    </w:tbl>
    <w:p>
      <w:pPr>
        <w:spacing w:before="200"/>
        <w:widowControl w:val="1"/>
      </w:pPr>
    </w:p>
    <w:tbl>
      <w:tblPr>
        <w:tblW w:type="auto" w:w="0"/>
        <w:jc w:val="center"/>
        <w:tblLayout w:type="fixed"/>
        <w:tblLook w:firstColumn="1" w:firstRow="1" w:lastColumn="0" w:lastRow="0" w:noHBand="0" w:noVBand="1" w:val="04A0"/>
      </w:tblPr>
      <w:tblGrid>
        <w:gridCol w:w="4997"/>
        <w:gridCol w:w="4997"/>
      </w:tblGrid>
      <w:tr>
        <w:tc>
          <w:tcPr>
            <w:tcW w:type="dxa" w:w="2448"/>
            <w:shd w:fill="F2EEFF"/>
            <w:vAlign w:val="center"/>
            <w:tcBorders>
              <w:top w:val="single" w:sz="6" w:color="D9DDE8"/>
              <w:left w:val="single" w:sz="6" w:color="D9DDE8"/>
              <w:bottom w:val="single" w:sz="6" w:color="D9DDE8"/>
              <w:right w:val="single" w:sz="6" w:color="D9DDE8"/>
            </w:tcBorders>
          </w:tcPr>
          <w:p>
            <w:r>
              <w:rPr>
                <w:b/>
              </w:rPr>
              <w:t>Operator</w:t>
            </w:r>
          </w:p>
        </w:tc>
        <w:tc>
          <w:tcPr>
            <w:tcW w:type="dxa" w:w="7056"/>
            <w:vAlign w:val="center"/>
            <w:tcBorders>
              <w:top w:val="single" w:sz="6" w:color="D9DDE8"/>
              <w:left w:val="single" w:sz="6" w:color="D9DDE8"/>
              <w:bottom w:val="single" w:sz="6" w:color="D9DDE8"/>
              <w:right w:val="single" w:sz="6" w:color="D9DDE8"/>
            </w:tcBorders>
          </w:tcPr>
          <w:p>
            <w:r>
              <w:t>Umbrella (ამბრელა)</w:t>
            </w:r>
          </w:p>
        </w:tc>
      </w:tr>
      <w:tr>
        <w:tc>
          <w:tcPr>
            <w:tcW w:type="dxa" w:w="2448"/>
            <w:shd w:fill="F2EEFF"/>
            <w:vAlign w:val="center"/>
            <w:tcBorders>
              <w:top w:val="single" w:sz="6" w:color="D9DDE8"/>
              <w:left w:val="single" w:sz="6" w:color="D9DDE8"/>
              <w:bottom w:val="single" w:sz="6" w:color="D9DDE8"/>
              <w:right w:val="single" w:sz="6" w:color="D9DDE8"/>
            </w:tcBorders>
          </w:tcPr>
          <w:p>
            <w:r>
              <w:rPr>
                <w:b/>
              </w:rPr>
              <w:t>Legal form</w:t>
            </w:r>
          </w:p>
        </w:tc>
        <w:tc>
          <w:tcPr>
            <w:tcW w:type="dxa" w:w="7056"/>
            <w:vAlign w:val="center"/>
            <w:tcBorders>
              <w:top w:val="single" w:sz="6" w:color="D9DDE8"/>
              <w:left w:val="single" w:sz="6" w:color="D9DDE8"/>
              <w:bottom w:val="single" w:sz="6" w:color="D9DDE8"/>
              <w:right w:val="single" w:sz="6" w:color="D9DDE8"/>
            </w:tcBorders>
          </w:tcPr>
          <w:p>
            <w:r>
              <w:t>Non-Entrepreneurial (Non-Commercial) Legal Entity</w:t>
            </w:r>
          </w:p>
        </w:tc>
      </w:tr>
      <w:tr>
        <w:tc>
          <w:tcPr>
            <w:tcW w:type="dxa" w:w="2448"/>
            <w:shd w:fill="F2EEFF"/>
            <w:vAlign w:val="center"/>
            <w:tcBorders>
              <w:top w:val="single" w:sz="6" w:color="D9DDE8"/>
              <w:left w:val="single" w:sz="6" w:color="D9DDE8"/>
              <w:bottom w:val="single" w:sz="6" w:color="D9DDE8"/>
              <w:right w:val="single" w:sz="6" w:color="D9DDE8"/>
            </w:tcBorders>
          </w:tcPr>
          <w:p>
            <w:r>
              <w:rPr>
                <w:b/>
              </w:rPr>
              <w:t>Registration number</w:t>
            </w:r>
          </w:p>
        </w:tc>
        <w:tc>
          <w:tcPr>
            <w:tcW w:type="dxa" w:w="7056"/>
            <w:vAlign w:val="center"/>
            <w:tcBorders>
              <w:top w:val="single" w:sz="6" w:color="D9DDE8"/>
              <w:left w:val="single" w:sz="6" w:color="D9DDE8"/>
              <w:bottom w:val="single" w:sz="6" w:color="D9DDE8"/>
              <w:right w:val="single" w:sz="6" w:color="D9DDE8"/>
            </w:tcBorders>
          </w:tcPr>
          <w:p>
            <w:r>
              <w:t>400183546</w:t>
            </w:r>
          </w:p>
        </w:tc>
      </w:tr>
      <w:tr>
        <w:tc>
          <w:tcPr>
            <w:tcW w:type="dxa" w:w="2448"/>
            <w:shd w:fill="F2EEFF"/>
            <w:vAlign w:val="center"/>
            <w:tcBorders>
              <w:top w:val="single" w:sz="6" w:color="D9DDE8"/>
              <w:left w:val="single" w:sz="6" w:color="D9DDE8"/>
              <w:bottom w:val="single" w:sz="6" w:color="D9DDE8"/>
              <w:right w:val="single" w:sz="6" w:color="D9DDE8"/>
            </w:tcBorders>
          </w:tcPr>
          <w:p>
            <w:r>
              <w:rPr>
                <w:b/>
              </w:rPr>
              <w:t>Registered address</w:t>
            </w:r>
          </w:p>
        </w:tc>
        <w:tc>
          <w:tcPr>
            <w:tcW w:type="dxa" w:w="7056"/>
            <w:vAlign w:val="center"/>
            <w:tcBorders>
              <w:top w:val="single" w:sz="6" w:color="D9DDE8"/>
              <w:left w:val="single" w:sz="6" w:color="D9DDE8"/>
              <w:bottom w:val="single" w:sz="6" w:color="D9DDE8"/>
              <w:right w:val="single" w:sz="6" w:color="D9DDE8"/>
            </w:tcBorders>
          </w:tcPr>
          <w:p>
            <w:r>
              <w:t>Leri Lagurashvili 4, 0178, Tbilisi, Georgia</w:t>
            </w:r>
          </w:p>
        </w:tc>
      </w:tr>
      <w:tr>
        <w:tc>
          <w:tcPr>
            <w:tcW w:type="dxa" w:w="2448"/>
            <w:shd w:fill="F2EEFF"/>
            <w:vAlign w:val="center"/>
            <w:tcBorders>
              <w:top w:val="single" w:sz="6" w:color="D9DDE8"/>
              <w:left w:val="single" w:sz="6" w:color="D9DDE8"/>
              <w:bottom w:val="single" w:sz="6" w:color="D9DDE8"/>
              <w:right w:val="single" w:sz="6" w:color="D9DDE8"/>
            </w:tcBorders>
          </w:tcPr>
          <w:p>
            <w:r>
              <w:rPr>
                <w:b/>
              </w:rPr>
              <w:t>Legal representative</w:t>
            </w:r>
          </w:p>
        </w:tc>
        <w:tc>
          <w:tcPr>
            <w:tcW w:type="dxa" w:w="7056"/>
            <w:vAlign w:val="center"/>
            <w:tcBorders>
              <w:top w:val="single" w:sz="6" w:color="D9DDE8"/>
              <w:left w:val="single" w:sz="6" w:color="D9DDE8"/>
              <w:bottom w:val="single" w:sz="6" w:color="D9DDE8"/>
              <w:right w:val="single" w:sz="6" w:color="D9DDE8"/>
            </w:tcBorders>
          </w:tcPr>
          <w:p>
            <w:r>
              <w:t>Stanislav Mezhdoyan</w:t>
            </w:r>
          </w:p>
        </w:tc>
      </w:tr>
      <w:tr>
        <w:tc>
          <w:tcPr>
            <w:tcW w:type="dxa" w:w="2448"/>
            <w:shd w:fill="F2EEFF"/>
            <w:vAlign w:val="center"/>
            <w:tcBorders>
              <w:top w:val="single" w:sz="6" w:color="D9DDE8"/>
              <w:left w:val="single" w:sz="6" w:color="D9DDE8"/>
              <w:bottom w:val="single" w:sz="6" w:color="D9DDE8"/>
              <w:right w:val="single" w:sz="6" w:color="D9DDE8"/>
            </w:tcBorders>
          </w:tcPr>
          <w:p>
            <w:r>
              <w:rPr>
                <w:b/>
              </w:rPr>
              <w:t>Version</w:t>
            </w:r>
          </w:p>
        </w:tc>
        <w:tc>
          <w:tcPr>
            <w:tcW w:type="dxa" w:w="7056"/>
            <w:vAlign w:val="center"/>
            <w:tcBorders>
              <w:top w:val="single" w:sz="6" w:color="D9DDE8"/>
              <w:left w:val="single" w:sz="6" w:color="D9DDE8"/>
              <w:bottom w:val="single" w:sz="6" w:color="D9DDE8"/>
              <w:right w:val="single" w:sz="6" w:color="D9DDE8"/>
            </w:tcBorders>
          </w:tcPr>
          <w:p>
            <w:r>
              <w:t>1.0</w:t>
            </w:r>
          </w:p>
        </w:tc>
      </w:tr>
      <w:tr>
        <w:tc>
          <w:tcPr>
            <w:tcW w:type="dxa" w:w="2448"/>
            <w:shd w:fill="F2EEFF"/>
            <w:vAlign w:val="center"/>
            <w:tcBorders>
              <w:top w:val="single" w:sz="6" w:color="D9DDE8"/>
              <w:left w:val="single" w:sz="6" w:color="D9DDE8"/>
              <w:bottom w:val="single" w:sz="6" w:color="D9DDE8"/>
              <w:right w:val="single" w:sz="6" w:color="D9DDE8"/>
            </w:tcBorders>
          </w:tcPr>
          <w:p>
            <w:r>
              <w:rPr>
                <w:b/>
              </w:rPr>
              <w:t>Publication date</w:t>
            </w:r>
          </w:p>
        </w:tc>
        <w:tc>
          <w:tcPr>
            <w:tcW w:type="dxa" w:w="7056"/>
            <w:vAlign w:val="center"/>
            <w:tcBorders>
              <w:top w:val="single" w:sz="6" w:color="D9DDE8"/>
              <w:left w:val="single" w:sz="6" w:color="D9DDE8"/>
              <w:bottom w:val="single" w:sz="6" w:color="D9DDE8"/>
              <w:right w:val="single" w:sz="6" w:color="D9DDE8"/>
            </w:tcBorders>
          </w:tcPr>
          <w:p>
            <w:r>
              <w:t>20 July 2026</w:t>
            </w:r>
          </w:p>
        </w:tc>
      </w:tr>
      <w:tr>
        <w:tc>
          <w:tcPr>
            <w:tcW w:type="dxa" w:w="2448"/>
            <w:shd w:fill="F2EEFF"/>
            <w:vAlign w:val="center"/>
            <w:tcBorders>
              <w:top w:val="single" w:sz="6" w:color="D9DDE8"/>
              <w:left w:val="single" w:sz="6" w:color="D9DDE8"/>
              <w:bottom w:val="single" w:sz="6" w:color="D9DDE8"/>
              <w:right w:val="single" w:sz="6" w:color="D9DDE8"/>
            </w:tcBorders>
          </w:tcPr>
          <w:p>
            <w:r>
              <w:rPr>
                <w:b/>
              </w:rPr>
              <w:t>Effective date</w:t>
            </w:r>
          </w:p>
        </w:tc>
        <w:tc>
          <w:tcPr>
            <w:tcW w:type="dxa" w:w="7056"/>
            <w:vAlign w:val="center"/>
            <w:tcBorders>
              <w:top w:val="single" w:sz="6" w:color="D9DDE8"/>
              <w:left w:val="single" w:sz="6" w:color="D9DDE8"/>
              <w:bottom w:val="single" w:sz="6" w:color="D9DDE8"/>
              <w:right w:val="single" w:sz="6" w:color="D9DDE8"/>
            </w:tcBorders>
          </w:tcPr>
          <w:p>
            <w:r>
              <w:t>20 July 2026</w:t>
            </w:r>
          </w:p>
        </w:tc>
      </w:tr>
      <w:tr>
        <w:tc>
          <w:tcPr>
            <w:tcW w:type="dxa" w:w="2448"/>
            <w:shd w:fill="F2EEFF"/>
            <w:vAlign w:val="center"/>
            <w:tcBorders>
              <w:top w:val="single" w:sz="6" w:color="D9DDE8"/>
              <w:left w:val="single" w:sz="6" w:color="D9DDE8"/>
              <w:bottom w:val="single" w:sz="6" w:color="D9DDE8"/>
              <w:right w:val="single" w:sz="6" w:color="D9DDE8"/>
            </w:tcBorders>
          </w:tcPr>
          <w:p>
            <w:r>
              <w:rPr>
                <w:b/>
              </w:rPr>
              <w:t>Contact channels</w:t>
            </w:r>
          </w:p>
        </w:tc>
        <w:tc>
          <w:tcPr>
            <w:tcW w:type="dxa" w:w="7056"/>
            <w:vAlign w:val="center"/>
            <w:tcBorders>
              <w:top w:val="single" w:sz="6" w:color="D9DDE8"/>
              <w:left w:val="single" w:sz="6" w:color="D9DDE8"/>
              <w:bottom w:val="single" w:sz="6" w:color="D9DDE8"/>
              <w:right w:val="single" w:sz="6" w:color="D9DDE8"/>
            </w:tcBorders>
          </w:tcPr>
          <w:p>
            <w:r>
              <w:t>In-app Feedback section and Contact Us form on the Gamify website</w:t>
            </w:r>
          </w:p>
        </w:tc>
      </w:tr>
    </w:tbl>
    <w:p>
      <w:pPr>
        <w:pStyle w:val="SmallNote"/>
        <w:jc w:val="center"/>
        <w:widowControl w:val="1"/>
      </w:pPr>
      <w:r>
        <w:t>These Guidelines apply across the Gamify web platform and mobile application. They supplement the Terms and Conditions and do not replace project-specific safeguarding or participation rules.</w:t>
      </w:r>
    </w:p>
    <w:p>
      <w:pPr>
        <w:widowControl w:val="1"/>
      </w:pPr>
      <w:r>
        <w:br w:type="page"/>
      </w:r>
    </w:p>
    <w:p>
      <w:pPr>
        <w:pStyle w:val="Heading1"/>
        <w:widowControl w:val="1"/>
      </w:pPr>
      <w:r>
        <w:t>1. Purpose and scope</w:t>
      </w:r>
    </w:p>
    <w:p>
      <w:pPr>
        <w:widowControl w:val="1"/>
      </w:pPr>
      <w:r>
        <w:t>These Community Guidelines explain the behaviour expected from everyone using Gamify. Their purpose is to protect participants, Youth Workers, organisation users and project communities while supporting fair participation and meaningful youth work.</w:t>
      </w:r>
    </w:p>
    <w:p>
      <w:pPr>
        <w:widowControl w:val="1"/>
      </w:pPr>
      <w:r>
        <w:t>The Guidelines apply to all content and activity on Gamify, including profiles, project spaces, groups, voting, task submissions, evaluations, Feedback, Gossip Box, Secret Friend and any other interactive feature.</w:t>
      </w:r>
    </w:p>
    <w:p>
      <w:pPr>
        <w:widowControl w:val="1"/>
      </w:pPr>
      <w:r>
        <w:t>Where a project has additional safeguarding, participation or conduct rules, users must follow those rules as well. If project rules conflict with applicable law or these Guidelines, the stricter safety requirement applies.</w:t>
      </w:r>
    </w:p>
    <w:p>
      <w:pPr>
        <w:pStyle w:val="Heading1"/>
        <w:widowControl w:val="1"/>
      </w:pPr>
      <w:r>
        <w:t>2. Core principles</w:t>
      </w:r>
    </w:p>
    <w:p>
      <w:pPr>
        <w:pStyle w:val="BulletCompact"/>
        <w:widowControl w:val="1"/>
      </w:pPr>
      <w:r>
        <w:rPr>
          <w:b/>
        </w:rPr>
        <w:t xml:space="preserve">Respect people. </w:t>
      </w:r>
      <w:r>
        <w:t>Communicate without harassment, humiliation, discrimination or intimidation.</w:t>
      </w:r>
    </w:p>
    <w:p>
      <w:pPr>
        <w:pStyle w:val="BulletCompact"/>
        <w:widowControl w:val="1"/>
      </w:pPr>
      <w:r>
        <w:rPr>
          <w:b/>
        </w:rPr>
        <w:t xml:space="preserve">Protect privacy. </w:t>
      </w:r>
      <w:r>
        <w:t>Do not expose personal information, private messages, images or project data without permission.</w:t>
      </w:r>
    </w:p>
    <w:p>
      <w:pPr>
        <w:pStyle w:val="BulletCompact"/>
        <w:widowControl w:val="1"/>
      </w:pPr>
      <w:r>
        <w:rPr>
          <w:b/>
        </w:rPr>
        <w:t xml:space="preserve">Participate honestly. </w:t>
      </w:r>
      <w:r>
        <w:t>Do not falsify attendance, manipulate voting, invent evidence or interfere with scoring.</w:t>
      </w:r>
    </w:p>
    <w:p>
      <w:pPr>
        <w:pStyle w:val="BulletCompact"/>
        <w:widowControl w:val="1"/>
      </w:pPr>
      <w:r>
        <w:rPr>
          <w:b/>
        </w:rPr>
        <w:t xml:space="preserve">Keep young people safe. </w:t>
      </w:r>
      <w:r>
        <w:t>Extra care is required whenever users under 18 are involved.</w:t>
      </w:r>
    </w:p>
    <w:p>
      <w:pPr>
        <w:pStyle w:val="BulletCompact"/>
        <w:widowControl w:val="1"/>
      </w:pPr>
      <w:r>
        <w:rPr>
          <w:b/>
        </w:rPr>
        <w:t xml:space="preserve">Use Gamify for its intended purpose. </w:t>
      </w:r>
      <w:r>
        <w:t>Gamify supports youth projects, learning, participation and project management—not abuse, fraud or harmful activity.</w:t>
      </w:r>
    </w:p>
    <w:p>
      <w:pPr>
        <w:pStyle w:val="BulletCompact"/>
        <w:widowControl w:val="1"/>
      </w:pPr>
      <w:r>
        <w:rPr>
          <w:b/>
        </w:rPr>
        <w:t xml:space="preserve">Report concerns responsibly. </w:t>
      </w:r>
      <w:r>
        <w:t>Use the available reporting channels honestly and provide enough information for a fair review.</w:t>
      </w:r>
    </w:p>
    <w:p>
      <w:pPr>
        <w:pStyle w:val="Heading1"/>
        <w:widowControl w:val="1"/>
      </w:pPr>
      <w:r>
        <w:t>3. Who must follow these Guidelines</w:t>
      </w:r>
    </w:p>
    <w:p>
      <w:pPr>
        <w:widowControl w:val="1"/>
      </w:pPr>
      <w:r>
        <w:t>These Guidelines apply to:</w:t>
      </w:r>
    </w:p>
    <w:p>
      <w:pPr>
        <w:pStyle w:val="BulletCompact"/>
        <w:widowControl w:val="1"/>
      </w:pPr>
      <w:r>
        <w:t>Participants and personal-account users;</w:t>
      </w:r>
    </w:p>
    <w:p>
      <w:pPr>
        <w:pStyle w:val="BulletCompact"/>
        <w:widowControl w:val="1"/>
      </w:pPr>
      <w:r>
        <w:t>Youth Workers, facilitators and trainers;</w:t>
      </w:r>
    </w:p>
    <w:p>
      <w:pPr>
        <w:pStyle w:val="BulletCompact"/>
        <w:widowControl w:val="1"/>
      </w:pPr>
      <w:r>
        <w:t>Organisation administrators and organisation team members;</w:t>
      </w:r>
    </w:p>
    <w:p>
      <w:pPr>
        <w:pStyle w:val="BulletCompact"/>
        <w:widowControl w:val="1"/>
      </w:pPr>
      <w:r>
        <w:t>Project partners, invited contributors and authorised platform administrators;</w:t>
      </w:r>
    </w:p>
    <w:p>
      <w:pPr>
        <w:pStyle w:val="BulletCompact"/>
        <w:widowControl w:val="1"/>
      </w:pPr>
      <w:r>
        <w:t>Any person who accesses or submits content through Gamify.</w:t>
      </w:r>
    </w:p>
    <w:p>
      <w:pPr>
        <w:widowControl w:val="1"/>
      </w:pPr>
      <w:r>
        <w:t>Organisation users and Youth Workers have additional responsibilities because they may manage projects, assign roles, access participant information or moderate project spaces.</w:t>
      </w:r>
    </w:p>
    <w:p>
      <w:pPr>
        <w:pStyle w:val="Heading1"/>
        <w:widowControl w:val="1"/>
      </w:pPr>
      <w:r>
        <w:t>4. Accounts, identity and project access</w:t>
      </w:r>
    </w:p>
    <w:p>
      <w:pPr>
        <w:pStyle w:val="BulletCompact"/>
        <w:widowControl w:val="1"/>
      </w:pPr>
      <w:r>
        <w:t>Use your own account and keep login details secure.</w:t>
      </w:r>
    </w:p>
    <w:p>
      <w:pPr>
        <w:pStyle w:val="BulletCompact"/>
        <w:widowControl w:val="1"/>
      </w:pPr>
      <w:r>
        <w:t>Do not create duplicate or deceptive accounts to manipulate scores, votes, invitations or restrictions.</w:t>
      </w:r>
    </w:p>
    <w:p>
      <w:pPr>
        <w:pStyle w:val="BulletCompact"/>
        <w:widowControl w:val="1"/>
      </w:pPr>
      <w:r>
        <w:t>Do not impersonate another person, organisation, project or Gamify representative.</w:t>
      </w:r>
    </w:p>
    <w:p>
      <w:pPr>
        <w:pStyle w:val="BulletCompact"/>
        <w:widowControl w:val="1"/>
      </w:pPr>
      <w:r>
        <w:t>Projects appear only after an organisation invitation. Do not attempt to gain unauthorised access to a project, group, account or administrative function.</w:t>
      </w:r>
    </w:p>
    <w:p>
      <w:pPr>
        <w:pStyle w:val="BulletCompact"/>
        <w:widowControl w:val="1"/>
      </w:pPr>
      <w:r>
        <w:t>Public names and aliases must not be abusive, misleading, discriminatory or designed to impersonate someone else.</w:t>
      </w:r>
    </w:p>
    <w:p>
      <w:pPr>
        <w:pStyle w:val="BulletCompact"/>
        <w:widowControl w:val="1"/>
      </w:pPr>
      <w:r>
        <w:t>An alias may hide a name from other users, but it does not remove accountability to Gamify or authorised project administrators.</w:t>
      </w:r>
    </w:p>
    <w:p>
      <w:pPr>
        <w:pStyle w:val="Heading1"/>
        <w:widowControl w:val="1"/>
      </w:pPr>
      <w:r>
        <w:t>5. Respectful and inclusive conduct</w:t>
      </w:r>
    </w:p>
    <w:p>
      <w:pPr>
        <w:widowControl w:val="1"/>
      </w:pPr>
      <w:r>
        <w:t>Gamify is intended to support diverse youth communities. Users must communicate in a way that respects dignity, equality and different backgrounds.</w:t>
      </w:r>
    </w:p>
    <w:p>
      <w:pPr>
        <w:pStyle w:val="BulletCompact"/>
        <w:widowControl w:val="1"/>
      </w:pPr>
      <w:r>
        <w:t>Do not bully, threaten, stalk, shame, insult or repeatedly target another person.</w:t>
      </w:r>
    </w:p>
    <w:p>
      <w:pPr>
        <w:pStyle w:val="BulletCompact"/>
        <w:widowControl w:val="1"/>
      </w:pPr>
      <w:r>
        <w:t>Do not use hate speech or attack people based on race, ethnicity, nationality, religion, gender, gender identity, sexual orientation, disability, age or another protected or personal characteristic.</w:t>
      </w:r>
    </w:p>
    <w:p>
      <w:pPr>
        <w:pStyle w:val="BulletCompact"/>
        <w:widowControl w:val="1"/>
      </w:pPr>
      <w:r>
        <w:t>Do not organise exclusion, pile-ons, retaliation or coordinated harassment.</w:t>
      </w:r>
    </w:p>
    <w:p>
      <w:pPr>
        <w:pStyle w:val="BulletCompact"/>
        <w:widowControl w:val="1"/>
      </w:pPr>
      <w:r>
        <w:t>Do not use humour, “gossip”, voting or group competition to humiliate a person or reveal sensitive information.</w:t>
      </w:r>
    </w:p>
    <w:p>
      <w:pPr>
        <w:pStyle w:val="BulletCompact"/>
        <w:widowControl w:val="1"/>
      </w:pPr>
      <w:r>
        <w:t>Disagreement is allowed, but personal attacks and demeaning conduct are not.</w:t>
      </w:r>
    </w:p>
    <w:p>
      <w:pPr>
        <w:pStyle w:val="BulletCompact"/>
        <w:widowControl w:val="1"/>
      </w:pPr>
      <w:r>
        <w:t>Do not pressure another user to communicate privately, meet outside the project, share personal contacts or continue interaction after they have refused.</w:t>
      </w:r>
    </w:p>
    <w:p>
      <w:pPr>
        <w:pStyle w:val="Heading1"/>
        <w:widowControl w:val="1"/>
      </w:pPr>
      <w:r>
        <w:t>6. Safety and safeguarding of minors</w:t>
      </w:r>
    </w:p>
    <w:tbl>
      <w:tblPr>
        <w:tblW w:type="auto" w:w="0"/>
        <w:jc w:val="center"/>
        <w:tblLook w:firstColumn="1" w:firstRow="1" w:lastColumn="0" w:lastRow="0" w:noHBand="0" w:noVBand="1" w:val="04A0"/>
      </w:tblPr>
      <w:tblGrid>
        <w:gridCol w:w="9994"/>
      </w:tblGrid>
      <w:tr>
        <w:tc>
          <w:tcPr>
            <w:tcW w:type="dxa" w:w="9994"/>
            <w:shd w:fill="FFF0F1"/>
            <w:tcBorders>
              <w:top w:val="single" w:sz="8" w:color="B42335"/>
              <w:left w:val="single" w:sz="8" w:color="B42335"/>
              <w:bottom w:val="single" w:sz="8" w:color="B42335"/>
              <w:right w:val="single" w:sz="8" w:color="B42335"/>
            </w:tcBorders>
          </w:tcPr>
          <w:p>
            <w:r>
              <w:rPr>
                <w:b/>
                <w:color w:val="B42335"/>
              </w:rPr>
              <w:t xml:space="preserve">High-safety rule: </w:t>
            </w:r>
            <w:r>
              <w:t>Any sexual exploitation, grooming, coercion or sexualised content involving a person under 18 is strictly prohibited and may be reported to relevant authorities.</w:t>
            </w:r>
          </w:p>
        </w:tc>
      </w:tr>
    </w:tbl>
    <w:p>
      <w:pPr>
        <w:spacing w:after="0"/>
        <w:widowControl w:val="1"/>
      </w:pPr>
    </w:p>
    <w:p>
      <w:pPr>
        <w:pStyle w:val="BulletCompact"/>
        <w:widowControl w:val="1"/>
      </w:pPr>
      <w:r>
        <w:t>Do not request, create, share, store or threaten to share sexual or intimate content involving a minor.</w:t>
      </w:r>
    </w:p>
    <w:p>
      <w:pPr>
        <w:pStyle w:val="BulletCompact"/>
        <w:widowControl w:val="1"/>
      </w:pPr>
      <w:r>
        <w:t>Do not sexualise, groom, manipulate or establish inappropriate relationships with minors.</w:t>
      </w:r>
    </w:p>
    <w:p>
      <w:pPr>
        <w:pStyle w:val="BulletCompact"/>
        <w:widowControl w:val="1"/>
      </w:pPr>
      <w:r>
        <w:t>Adults must keep communications with minors appropriate, transparent and connected to legitimate project purposes.</w:t>
      </w:r>
    </w:p>
    <w:p>
      <w:pPr>
        <w:pStyle w:val="BulletCompact"/>
        <w:widowControl w:val="1"/>
      </w:pPr>
      <w:r>
        <w:t>Do not ask minors for unnecessary private contact information, passwords, location details or private meetings.</w:t>
      </w:r>
    </w:p>
    <w:p>
      <w:pPr>
        <w:pStyle w:val="BulletCompact"/>
        <w:widowControl w:val="1"/>
      </w:pPr>
      <w:r>
        <w:t>Do not encourage dangerous challenges, self-harm, eating-disorder behaviour, substance misuse or other conduct likely to cause serious harm.</w:t>
      </w:r>
    </w:p>
    <w:p>
      <w:pPr>
        <w:pStyle w:val="BulletCompact"/>
        <w:widowControl w:val="1"/>
      </w:pPr>
      <w:r>
        <w:t>Do not share images, recordings or personal details of minors without the permissions and safeguards required by the project and applicable law.</w:t>
      </w:r>
    </w:p>
    <w:p>
      <w:pPr>
        <w:pStyle w:val="BulletCompact"/>
        <w:widowControl w:val="1"/>
      </w:pPr>
      <w:r>
        <w:t>Organisations and Youth Workers must follow their safeguarding procedures and escalate credible safety concerns promptly.</w:t>
      </w:r>
    </w:p>
    <w:p>
      <w:pPr>
        <w:widowControl w:val="1"/>
      </w:pPr>
      <w:r>
        <w:t>Supportive discussion about difficult topics is not automatically prohibited. Context matters, and content should be handled in a way that protects participants and avoids encouraging harm.</w:t>
      </w:r>
    </w:p>
    <w:p>
      <w:pPr>
        <w:pStyle w:val="Heading1"/>
        <w:widowControl w:val="1"/>
      </w:pPr>
      <w:r>
        <w:t>7. Prohibited content and behaviour</w:t>
      </w:r>
    </w:p>
    <w:p>
      <w:pPr>
        <w:pStyle w:val="Heading2"/>
        <w:widowControl w:val="1"/>
      </w:pPr>
      <w:r>
        <w:t>7.1 Threats, violence and harmful conduct</w:t>
      </w:r>
    </w:p>
    <w:p>
      <w:pPr>
        <w:pStyle w:val="BulletCompact"/>
        <w:widowControl w:val="1"/>
      </w:pPr>
      <w:r>
        <w:t>Credible threats, encouragement of violence, extortion or instructions intended to facilitate serious harm;</w:t>
      </w:r>
    </w:p>
    <w:p>
      <w:pPr>
        <w:pStyle w:val="BulletCompact"/>
        <w:widowControl w:val="1"/>
      </w:pPr>
      <w:r>
        <w:t>Content celebrating or targeting victims of violence or abuse;</w:t>
      </w:r>
    </w:p>
    <w:p>
      <w:pPr>
        <w:pStyle w:val="BulletCompact"/>
        <w:widowControl w:val="1"/>
      </w:pPr>
      <w:r>
        <w:t>Dangerous challenges or instructions presented in a way likely to cause harm.</w:t>
      </w:r>
    </w:p>
    <w:p>
      <w:pPr>
        <w:pStyle w:val="Heading2"/>
        <w:widowControl w:val="1"/>
      </w:pPr>
      <w:r>
        <w:t>7.2 Sexual exploitation and non-consensual content</w:t>
      </w:r>
    </w:p>
    <w:p>
      <w:pPr>
        <w:pStyle w:val="BulletCompact"/>
        <w:widowControl w:val="1"/>
      </w:pPr>
      <w:r>
        <w:t>Sexual exploitation or abuse of any person;</w:t>
      </w:r>
    </w:p>
    <w:p>
      <w:pPr>
        <w:pStyle w:val="BulletCompact"/>
        <w:widowControl w:val="1"/>
      </w:pPr>
      <w:r>
        <w:t>Non-consensual intimate images, sexual threats or sexual harassment;</w:t>
      </w:r>
    </w:p>
    <w:p>
      <w:pPr>
        <w:pStyle w:val="BulletCompact"/>
        <w:widowControl w:val="1"/>
      </w:pPr>
      <w:r>
        <w:t>Any sexual content involving minors, including generated or manipulated content.</w:t>
      </w:r>
    </w:p>
    <w:p>
      <w:pPr>
        <w:pStyle w:val="Heading2"/>
        <w:widowControl w:val="1"/>
      </w:pPr>
      <w:r>
        <w:t>7.3 Illegal activity, fraud and security abuse</w:t>
      </w:r>
    </w:p>
    <w:p>
      <w:pPr>
        <w:pStyle w:val="BulletCompact"/>
        <w:widowControl w:val="1"/>
      </w:pPr>
      <w:r>
        <w:t>Content or conduct intended to facilitate illegal activity, fraud, theft or identity misuse;</w:t>
      </w:r>
    </w:p>
    <w:p>
      <w:pPr>
        <w:pStyle w:val="BulletCompact"/>
        <w:widowControl w:val="1"/>
      </w:pPr>
      <w:r>
        <w:t>Phishing, malicious links, malware, attempts to bypass security or gain unauthorised access;</w:t>
      </w:r>
    </w:p>
    <w:p>
      <w:pPr>
        <w:pStyle w:val="BulletCompact"/>
        <w:widowControl w:val="1"/>
      </w:pPr>
      <w:r>
        <w:t>Selling or promoting prohibited goods or services through Gamify;</w:t>
      </w:r>
    </w:p>
    <w:p>
      <w:pPr>
        <w:pStyle w:val="BulletCompact"/>
        <w:widowControl w:val="1"/>
      </w:pPr>
      <w:r>
        <w:t>False claims made to obtain project access, funding, points, benefits or another advantage.</w:t>
      </w:r>
    </w:p>
    <w:p>
      <w:pPr>
        <w:pStyle w:val="Heading2"/>
        <w:widowControl w:val="1"/>
      </w:pPr>
      <w:r>
        <w:t>7.4 Personal data and private information</w:t>
      </w:r>
    </w:p>
    <w:p>
      <w:pPr>
        <w:pStyle w:val="BulletCompact"/>
        <w:widowControl w:val="1"/>
      </w:pPr>
      <w:r>
        <w:t>Doxxing or publishing private addresses, phone numbers, identification documents, passwords, health information or other sensitive data without authority;</w:t>
      </w:r>
    </w:p>
    <w:p>
      <w:pPr>
        <w:pStyle w:val="BulletCompact"/>
        <w:widowControl w:val="1"/>
      </w:pPr>
      <w:r>
        <w:t>Sharing private messages, evaluation answers or images without permission or a valid legal basis;</w:t>
      </w:r>
    </w:p>
    <w:p>
      <w:pPr>
        <w:pStyle w:val="BulletCompact"/>
        <w:widowControl w:val="1"/>
      </w:pPr>
      <w:r>
        <w:t>Collecting participant data outside approved project purposes.</w:t>
      </w:r>
    </w:p>
    <w:p>
      <w:pPr>
        <w:pStyle w:val="Heading2"/>
        <w:widowControl w:val="1"/>
      </w:pPr>
      <w:r>
        <w:t>7.5 Intellectual property and deceptive content</w:t>
      </w:r>
    </w:p>
    <w:p>
      <w:pPr>
        <w:pStyle w:val="BulletCompact"/>
        <w:widowControl w:val="1"/>
      </w:pPr>
      <w:r>
        <w:t>Uploading content that you do not have the right to use;</w:t>
      </w:r>
    </w:p>
    <w:p>
      <w:pPr>
        <w:pStyle w:val="BulletCompact"/>
        <w:widowControl w:val="1"/>
      </w:pPr>
      <w:r>
        <w:t>Presenting another person’s work, identity or evidence as your own;</w:t>
      </w:r>
    </w:p>
    <w:p>
      <w:pPr>
        <w:pStyle w:val="BulletCompact"/>
        <w:widowControl w:val="1"/>
      </w:pPr>
      <w:r>
        <w:t>Manipulated or deliberately misleading content used to harm users, distort project results or deceive organisations.</w:t>
      </w:r>
    </w:p>
    <w:p>
      <w:pPr>
        <w:pStyle w:val="Heading2"/>
        <w:widowControl w:val="1"/>
      </w:pPr>
      <w:r>
        <w:t>7.6 Spam and disruption</w:t>
      </w:r>
    </w:p>
    <w:p>
      <w:pPr>
        <w:pStyle w:val="BulletCompact"/>
        <w:widowControl w:val="1"/>
      </w:pPr>
      <w:r>
        <w:t>Repeated irrelevant messages, mass invitations, automated posting or disruptive content;</w:t>
      </w:r>
    </w:p>
    <w:p>
      <w:pPr>
        <w:pStyle w:val="BulletCompact"/>
        <w:widowControl w:val="1"/>
      </w:pPr>
      <w:r>
        <w:t>Attempts to overload, scrape, reverse engineer or interfere with the platform;</w:t>
      </w:r>
    </w:p>
    <w:p>
      <w:pPr>
        <w:pStyle w:val="BulletCompact"/>
        <w:widowControl w:val="1"/>
      </w:pPr>
      <w:r>
        <w:t>Malicious or knowingly false reports intended to punish or silence another user.</w:t>
      </w:r>
    </w:p>
    <w:p>
      <w:pPr>
        <w:pStyle w:val="Heading1"/>
        <w:widowControl w:val="1"/>
      </w:pPr>
      <w:r>
        <w:t>8. Fair participation and scoring integrity</w:t>
      </w:r>
    </w:p>
    <w:p>
      <w:pPr>
        <w:widowControl w:val="1"/>
      </w:pPr>
      <w:r>
        <w:t>Gamify scores and project records must reflect real participant activity. Users must not manipulate or falsify the actions used for PP, FS, IQI, attendance, rankings or reports.</w:t>
      </w:r>
    </w:p>
    <w:p>
      <w:pPr>
        <w:pStyle w:val="BulletCompact"/>
        <w:widowControl w:val="1"/>
      </w:pPr>
      <w:r>
        <w:rPr>
          <w:b/>
        </w:rPr>
        <w:t xml:space="preserve">Attendance and QR check-in: </w:t>
      </w:r>
      <w:r>
        <w:t>Check in only for yourself and only when genuinely present. Do not share codes or devices to create false attendance.</w:t>
      </w:r>
    </w:p>
    <w:p>
      <w:pPr>
        <w:pStyle w:val="BulletCompact"/>
        <w:widowControl w:val="1"/>
      </w:pPr>
      <w:r>
        <w:rPr>
          <w:b/>
        </w:rPr>
        <w:t xml:space="preserve">Voting: </w:t>
      </w:r>
      <w:r>
        <w:t>Do not self-vote where prohibited, create duplicate accounts, exchange votes, pressure participants or coordinate dishonest voting.</w:t>
      </w:r>
    </w:p>
    <w:p>
      <w:pPr>
        <w:pStyle w:val="BulletCompact"/>
        <w:widowControl w:val="1"/>
      </w:pPr>
      <w:r>
        <w:rPr>
          <w:b/>
        </w:rPr>
        <w:t xml:space="preserve">Quizzes and tests: </w:t>
      </w:r>
      <w:r>
        <w:t>Do not submit answers for another person, use prohibited assistance or interfere with another participant’s attempt.</w:t>
      </w:r>
    </w:p>
    <w:p>
      <w:pPr>
        <w:pStyle w:val="BulletCompact"/>
        <w:widowControl w:val="1"/>
      </w:pPr>
      <w:r>
        <w:rPr>
          <w:b/>
        </w:rPr>
        <w:t xml:space="preserve">Performance tasks: </w:t>
      </w:r>
      <w:r>
        <w:t>Do not upload fabricated, copied or misleading evidence. Youth Workers must score according to the configured criteria and within the allowed project time.</w:t>
      </w:r>
    </w:p>
    <w:p>
      <w:pPr>
        <w:pStyle w:val="BulletCompact"/>
        <w:widowControl w:val="1"/>
      </w:pPr>
      <w:r>
        <w:rPr>
          <w:b/>
        </w:rPr>
        <w:t xml:space="preserve">Evaluations and reflections: </w:t>
      </w:r>
      <w:r>
        <w:t>Participants should answer independently. Organisations and Youth Workers must not pressure users to give favourable answers or retaliate for criticism.</w:t>
      </w:r>
    </w:p>
    <w:p>
      <w:pPr>
        <w:pStyle w:val="BulletCompact"/>
        <w:widowControl w:val="1"/>
      </w:pPr>
      <w:r>
        <w:rPr>
          <w:b/>
        </w:rPr>
        <w:t xml:space="preserve">Gossip Box and Secret Friend: </w:t>
      </w:r>
      <w:r>
        <w:t>Do not create repeated entries merely to obtain points, use automated submissions or exploit a technical error.</w:t>
      </w:r>
    </w:p>
    <w:p>
      <w:pPr>
        <w:pStyle w:val="BulletCompact"/>
        <w:widowControl w:val="1"/>
      </w:pPr>
      <w:r>
        <w:rPr>
          <w:b/>
        </w:rPr>
        <w:t xml:space="preserve">Administration: </w:t>
      </w:r>
      <w:r>
        <w:t>Organisation users must not invent participant actions, alter records improperly or use administrative access to manipulate results.</w:t>
      </w:r>
    </w:p>
    <w:tbl>
      <w:tblPr>
        <w:tblW w:type="auto" w:w="0"/>
        <w:jc w:val="center"/>
        <w:tblLook w:firstColumn="1" w:firstRow="1" w:lastColumn="0" w:lastRow="0" w:noHBand="0" w:noVBand="1" w:val="04A0"/>
      </w:tblPr>
      <w:tblGrid>
        <w:gridCol w:w="9994"/>
      </w:tblGrid>
      <w:tr>
        <w:tc>
          <w:tcPr>
            <w:tcW w:type="dxa" w:w="9994"/>
            <w:shd w:fill="FFF4E5"/>
            <w:tcBorders>
              <w:top w:val="single" w:sz="8" w:color="C96B00"/>
              <w:left w:val="single" w:sz="8" w:color="C96B00"/>
              <w:bottom w:val="single" w:sz="8" w:color="C96B00"/>
              <w:right w:val="single" w:sz="8" w:color="C96B00"/>
            </w:tcBorders>
          </w:tcPr>
          <w:p>
            <w:r>
              <w:rPr>
                <w:b/>
                <w:color w:val="C96B00"/>
              </w:rPr>
              <w:t xml:space="preserve">Points caps: </w:t>
            </w:r>
            <w:r>
              <w:t>Sending more messages or entries after a daily or project cap is reached does not create additional points. Attempts to evade caps may lead to restrictions.</w:t>
            </w:r>
          </w:p>
        </w:tc>
      </w:tr>
    </w:tbl>
    <w:p>
      <w:pPr>
        <w:spacing w:after="0"/>
        <w:widowControl w:val="1"/>
      </w:pPr>
    </w:p>
    <w:p>
      <w:pPr>
        <w:pStyle w:val="Heading1"/>
        <w:widowControl w:val="1"/>
      </w:pPr>
      <w:r>
        <w:t>9. Rules for specific Gamify features</w:t>
      </w:r>
    </w:p>
    <w:p>
      <w:pPr>
        <w:pStyle w:val="Heading2"/>
        <w:widowControl w:val="1"/>
      </w:pPr>
      <w:r>
        <w:t>9.1 Gossip Box</w:t>
      </w:r>
    </w:p>
    <w:p>
      <w:pPr>
        <w:pStyle w:val="BulletCompact"/>
        <w:widowControl w:val="1"/>
      </w:pPr>
      <w:r>
        <w:t>Keep entries playful, constructive and non-harmful.</w:t>
      </w:r>
    </w:p>
    <w:p>
      <w:pPr>
        <w:pStyle w:val="BulletCompact"/>
        <w:widowControl w:val="1"/>
      </w:pPr>
      <w:r>
        <w:t>Do not post accusations, rumours, sexual content, threats, private information or content intended to embarrass an identifiable person.</w:t>
      </w:r>
    </w:p>
    <w:p>
      <w:pPr>
        <w:pStyle w:val="BulletCompact"/>
        <w:widowControl w:val="1"/>
      </w:pPr>
      <w:r>
        <w:t>Do not use anonymity or aliases to target someone or avoid accountability.</w:t>
      </w:r>
    </w:p>
    <w:p>
      <w:pPr>
        <w:pStyle w:val="BulletCompact"/>
        <w:widowControl w:val="1"/>
      </w:pPr>
      <w:r>
        <w:t>One eligible entry may earn points only within the configured cap; additional entries do not create extra entitlement.</w:t>
      </w:r>
    </w:p>
    <w:p>
      <w:pPr>
        <w:pStyle w:val="Heading2"/>
        <w:widowControl w:val="1"/>
      </w:pPr>
      <w:r>
        <w:t>9.2 Secret Friend</w:t>
      </w:r>
    </w:p>
    <w:p>
      <w:pPr>
        <w:pStyle w:val="BulletCompact"/>
        <w:widowControl w:val="1"/>
      </w:pPr>
      <w:r>
        <w:t>Messages must be respectful and suitable for the project age group.</w:t>
      </w:r>
    </w:p>
    <w:p>
      <w:pPr>
        <w:pStyle w:val="BulletCompact"/>
        <w:widowControl w:val="1"/>
      </w:pPr>
      <w:r>
        <w:t>Do not pressure the recipient for private contact, romantic or sexual interaction, gifts, money or off-platform communication.</w:t>
      </w:r>
    </w:p>
    <w:p>
      <w:pPr>
        <w:pStyle w:val="BulletCompact"/>
        <w:widowControl w:val="1"/>
      </w:pPr>
      <w:r>
        <w:t>Do not reveal another person’s assignment without permission where the activity is intended to remain secret.</w:t>
      </w:r>
    </w:p>
    <w:p>
      <w:pPr>
        <w:pStyle w:val="Heading2"/>
        <w:widowControl w:val="1"/>
      </w:pPr>
      <w:r>
        <w:t>9.3 Groups, leaderboards and achievements</w:t>
      </w:r>
    </w:p>
    <w:p>
      <w:pPr>
        <w:pStyle w:val="BulletCompact"/>
        <w:widowControl w:val="1"/>
      </w:pPr>
      <w:r>
        <w:t>Competition must not become harassment, exclusion or humiliation.</w:t>
      </w:r>
    </w:p>
    <w:p>
      <w:pPr>
        <w:pStyle w:val="BulletCompact"/>
        <w:widowControl w:val="1"/>
      </w:pPr>
      <w:r>
        <w:t>Do not target lower-ranked participants or pressure others to change their activity for your benefit.</w:t>
      </w:r>
    </w:p>
    <w:p>
      <w:pPr>
        <w:pStyle w:val="BulletCompact"/>
        <w:widowControl w:val="1"/>
      </w:pPr>
      <w:r>
        <w:t>Do not misrepresent group membership, contributions or project roles.</w:t>
      </w:r>
    </w:p>
    <w:p>
      <w:pPr>
        <w:pStyle w:val="Heading2"/>
        <w:widowControl w:val="1"/>
      </w:pPr>
      <w:r>
        <w:t>9.4 Feedback, reports and testimonials</w:t>
      </w:r>
    </w:p>
    <w:p>
      <w:pPr>
        <w:pStyle w:val="BulletCompact"/>
        <w:widowControl w:val="1"/>
      </w:pPr>
      <w:r>
        <w:t>Use Feedback honestly and select the most relevant category.</w:t>
      </w:r>
    </w:p>
    <w:p>
      <w:pPr>
        <w:pStyle w:val="BulletCompact"/>
        <w:widowControl w:val="1"/>
      </w:pPr>
      <w:r>
        <w:t>Do not include unnecessary sensitive information about other people.</w:t>
      </w:r>
    </w:p>
    <w:p>
      <w:pPr>
        <w:pStyle w:val="BulletCompact"/>
        <w:widowControl w:val="1"/>
      </w:pPr>
      <w:r>
        <w:t>Testimonials may be used publicly only where the user has given the required permission.</w:t>
      </w:r>
    </w:p>
    <w:p>
      <w:pPr>
        <w:pStyle w:val="BulletCompact"/>
        <w:widowControl w:val="1"/>
      </w:pPr>
      <w:r>
        <w:t>Reporting a concern in good faith will not result in retaliation.</w:t>
      </w:r>
    </w:p>
    <w:p>
      <w:pPr>
        <w:pStyle w:val="Heading1"/>
        <w:widowControl w:val="1"/>
      </w:pPr>
      <w:r>
        <w:t>10. Organisation and Youth Worker responsibilities</w:t>
      </w:r>
    </w:p>
    <w:p>
      <w:pPr>
        <w:widowControl w:val="1"/>
      </w:pPr>
      <w:r>
        <w:t>Organisation administrators and Youth Workers must use their additional permissions responsibly.</w:t>
      </w:r>
    </w:p>
    <w:p>
      <w:pPr>
        <w:pStyle w:val="BulletCompact"/>
        <w:widowControl w:val="1"/>
      </w:pPr>
      <w:r>
        <w:t>Provide clear project information, role assignments and activity instructions.</w:t>
      </w:r>
    </w:p>
    <w:p>
      <w:pPr>
        <w:pStyle w:val="BulletCompact"/>
        <w:widowControl w:val="1"/>
      </w:pPr>
      <w:r>
        <w:t>Use participant data only for legitimate project and platform purposes.</w:t>
      </w:r>
    </w:p>
    <w:p>
      <w:pPr>
        <w:pStyle w:val="BulletCompact"/>
        <w:widowControl w:val="1"/>
      </w:pPr>
      <w:r>
        <w:t>Protect minors and follow applicable safeguarding procedures.</w:t>
      </w:r>
    </w:p>
    <w:p>
      <w:pPr>
        <w:pStyle w:val="BulletCompact"/>
        <w:widowControl w:val="1"/>
      </w:pPr>
      <w:r>
        <w:t>Do not pressure participants to share passwords, private evaluation answers or unnecessary personal data.</w:t>
      </w:r>
    </w:p>
    <w:p>
      <w:pPr>
        <w:pStyle w:val="BulletCompact"/>
        <w:widowControl w:val="1"/>
      </w:pPr>
      <w:r>
        <w:t>Do not manipulate attendance, votes, submissions, scores, rankings or feedback.</w:t>
      </w:r>
    </w:p>
    <w:p>
      <w:pPr>
        <w:pStyle w:val="BulletCompact"/>
        <w:widowControl w:val="1"/>
      </w:pPr>
      <w:r>
        <w:t>Review performance tasks fairly and within the permitted project period.</w:t>
      </w:r>
    </w:p>
    <w:p>
      <w:pPr>
        <w:pStyle w:val="BulletCompact"/>
        <w:widowControl w:val="1"/>
      </w:pPr>
      <w:r>
        <w:t>Respond appropriately to credible reports of abuse, safety risks or illegal content.</w:t>
      </w:r>
    </w:p>
    <w:p>
      <w:pPr>
        <w:pStyle w:val="BulletCompact"/>
        <w:widowControl w:val="1"/>
      </w:pPr>
      <w:r>
        <w:t>Limit access to authorised team members and remove access when no longer needed.</w:t>
      </w:r>
    </w:p>
    <w:p>
      <w:pPr>
        <w:pStyle w:val="BulletCompact"/>
        <w:widowControl w:val="1"/>
      </w:pPr>
      <w:r>
        <w:t>Do not retaliate against participants for reporting concerns, appealing decisions or providing negative feedback.</w:t>
      </w:r>
    </w:p>
    <w:p>
      <w:pPr>
        <w:pStyle w:val="Heading1"/>
        <w:widowControl w:val="1"/>
      </w:pPr>
      <w:r>
        <w:t>11. Privacy and responsible sharing</w:t>
      </w:r>
    </w:p>
    <w:p>
      <w:pPr>
        <w:pStyle w:val="BulletCompact"/>
        <w:widowControl w:val="1"/>
      </w:pPr>
      <w:r>
        <w:t>Share only information necessary for the project or platform function.</w:t>
      </w:r>
    </w:p>
    <w:p>
      <w:pPr>
        <w:pStyle w:val="BulletCompact"/>
        <w:widowControl w:val="1"/>
      </w:pPr>
      <w:r>
        <w:t>Check project permissions before uploading photos, videos, participant lists or other identifying content.</w:t>
      </w:r>
    </w:p>
    <w:p>
      <w:pPr>
        <w:pStyle w:val="BulletCompact"/>
        <w:widowControl w:val="1"/>
      </w:pPr>
      <w:r>
        <w:t>Do not download, copy or redistribute project data for unrelated purposes.</w:t>
      </w:r>
    </w:p>
    <w:p>
      <w:pPr>
        <w:pStyle w:val="BulletCompact"/>
        <w:widowControl w:val="1"/>
      </w:pPr>
      <w:r>
        <w:t>Use aliases and privacy settings responsibly and respect the choices made by other users.</w:t>
      </w:r>
    </w:p>
    <w:p>
      <w:pPr>
        <w:pStyle w:val="BulletCompact"/>
        <w:widowControl w:val="1"/>
      </w:pPr>
      <w:r>
        <w:t>Do not attempt to identify a user who has lawfully chosen an anonymous or alias-based display.</w:t>
      </w:r>
    </w:p>
    <w:p>
      <w:pPr>
        <w:pStyle w:val="BulletCompact"/>
        <w:widowControl w:val="1"/>
      </w:pPr>
      <w:r>
        <w:t>Where you receive access to personal information through an organisation role, keep it confidential and secure.</w:t>
      </w:r>
    </w:p>
    <w:p>
      <w:pPr>
        <w:pStyle w:val="Heading1"/>
        <w:widowControl w:val="1"/>
      </w:pPr>
      <w:r>
        <w:t>12. Reporting concerns</w:t>
      </w:r>
    </w:p>
    <w:p>
      <w:pPr>
        <w:widowControl w:val="1"/>
      </w:pPr>
      <w:r>
        <w:t>Users can report concerns through:</w:t>
      </w:r>
    </w:p>
    <w:p>
      <w:pPr>
        <w:pStyle w:val="BulletCompact"/>
        <w:widowControl w:val="1"/>
      </w:pPr>
      <w:r>
        <w:t>the in-app Feedback section;</w:t>
      </w:r>
    </w:p>
    <w:p>
      <w:pPr>
        <w:pStyle w:val="BulletCompact"/>
        <w:widowControl w:val="1"/>
      </w:pPr>
      <w:r>
        <w:t>the Contact Us form on the Gamify website if the user cannot access an account.</w:t>
      </w:r>
    </w:p>
    <w:p>
      <w:pPr>
        <w:widowControl w:val="1"/>
      </w:pPr>
      <w:r>
        <w:t>Available categories should include Community Guidelines Violation, Report Illegal Content, Safety or Safeguarding Concern, Account Restriction, Appeal a Decision and Other Legal or Safety Concern.</w:t>
      </w:r>
    </w:p>
    <w:p>
      <w:pPr>
        <w:widowControl w:val="1"/>
      </w:pPr>
      <w:r>
        <w:t>A useful report should identify the relevant project, account or content, explain the concern and include supporting information where available. Reports should not contain unnecessary personal or sensitive data.</w:t>
      </w:r>
    </w:p>
    <w:tbl>
      <w:tblPr>
        <w:tblW w:type="auto" w:w="0"/>
        <w:jc w:val="center"/>
        <w:tblLook w:firstColumn="1" w:firstRow="1" w:lastColumn="0" w:lastRow="0" w:noHBand="0" w:noVBand="1" w:val="04A0"/>
      </w:tblPr>
      <w:tblGrid>
        <w:gridCol w:w="9994"/>
      </w:tblGrid>
      <w:tr>
        <w:tc>
          <w:tcPr>
            <w:tcW w:type="dxa" w:w="9994"/>
            <w:shd w:fill="FFF0F1"/>
            <w:tcBorders>
              <w:top w:val="single" w:sz="8" w:color="B42335"/>
              <w:left w:val="single" w:sz="8" w:color="B42335"/>
              <w:bottom w:val="single" w:sz="8" w:color="B42335"/>
              <w:right w:val="single" w:sz="8" w:color="B42335"/>
            </w:tcBorders>
          </w:tcPr>
          <w:p>
            <w:r>
              <w:rPr>
                <w:b/>
                <w:color w:val="B42335"/>
              </w:rPr>
              <w:t xml:space="preserve">Immediate danger: </w:t>
            </w:r>
            <w:r>
              <w:t>Gamify reporting tools are not emergency services. In an urgent situation, contact local emergency services and the project’s designated safeguarding or safety contact.</w:t>
            </w:r>
          </w:p>
        </w:tc>
      </w:tr>
    </w:tbl>
    <w:p>
      <w:pPr>
        <w:spacing w:after="0"/>
        <w:widowControl w:val="1"/>
      </w:pPr>
    </w:p>
    <w:p>
      <w:pPr>
        <w:pStyle w:val="Heading1"/>
        <w:widowControl w:val="1"/>
      </w:pPr>
      <w:r>
        <w:t>13. Moderation and enforcement</w:t>
      </w:r>
    </w:p>
    <w:p>
      <w:pPr>
        <w:widowControl w:val="1"/>
      </w:pPr>
      <w:r>
        <w:t>Gamify may review reported or detected conduct and take proportionate action. The response depends on the severity, context, risk, user age, previous behaviour, intent and applicable legal obligations.</w:t>
      </w:r>
    </w:p>
    <w:p>
      <w:pPr>
        <w:widowControl w:val="1"/>
      </w:pPr>
      <w:r>
        <w:t>Possible measures include:</w:t>
      </w:r>
    </w:p>
    <w:p>
      <w:pPr>
        <w:pStyle w:val="BulletCompact"/>
        <w:widowControl w:val="1"/>
      </w:pPr>
      <w:r>
        <w:t>education, guidance or a warning;</w:t>
      </w:r>
    </w:p>
    <w:p>
      <w:pPr>
        <w:pStyle w:val="BulletCompact"/>
        <w:widowControl w:val="1"/>
      </w:pPr>
      <w:r>
        <w:t>removal or restriction of content;</w:t>
      </w:r>
    </w:p>
    <w:p>
      <w:pPr>
        <w:pStyle w:val="BulletCompact"/>
        <w:widowControl w:val="1"/>
      </w:pPr>
      <w:r>
        <w:t>loss of access to a feature or project space;</w:t>
      </w:r>
    </w:p>
    <w:p>
      <w:pPr>
        <w:pStyle w:val="BulletCompact"/>
        <w:widowControl w:val="1"/>
      </w:pPr>
      <w:r>
        <w:t>temporary account restriction or suspension;</w:t>
      </w:r>
    </w:p>
    <w:p>
      <w:pPr>
        <w:pStyle w:val="BulletCompact"/>
        <w:widowControl w:val="1"/>
      </w:pPr>
      <w:r>
        <w:t>removal from a project where authorised and appropriate;</w:t>
      </w:r>
    </w:p>
    <w:p>
      <w:pPr>
        <w:pStyle w:val="BulletCompact"/>
        <w:widowControl w:val="1"/>
      </w:pPr>
      <w:r>
        <w:t>account termination for serious or repeated violations;</w:t>
      </w:r>
    </w:p>
    <w:p>
      <w:pPr>
        <w:pStyle w:val="BulletCompact"/>
        <w:widowControl w:val="1"/>
      </w:pPr>
      <w:r>
        <w:t>notification to the relevant organisation or safeguarding lead;</w:t>
      </w:r>
    </w:p>
    <w:p>
      <w:pPr>
        <w:pStyle w:val="BulletCompact"/>
        <w:widowControl w:val="1"/>
      </w:pPr>
      <w:r>
        <w:t>preservation of evidence and referral to authorities where required by law or necessary to address an immediate serious risk.</w:t>
      </w:r>
    </w:p>
    <w:p>
      <w:pPr>
        <w:widowControl w:val="1"/>
      </w:pPr>
      <w:r>
        <w:t>Serious conduct—including child sexual exploitation material, credible threats, malicious security attacks or severe fraud—may result in immediate restriction without a prior warning.</w:t>
      </w:r>
    </w:p>
    <w:p>
      <w:pPr>
        <w:widowControl w:val="1"/>
      </w:pPr>
      <w:r>
        <w:t>Where required by applicable law, Gamify will provide a clear explanation of a content or account restriction and information about available ways to challenge the decision.</w:t>
      </w:r>
    </w:p>
    <w:p>
      <w:pPr>
        <w:pStyle w:val="Heading1"/>
        <w:widowControl w:val="1"/>
      </w:pPr>
      <w:r>
        <w:t>14. Appeals and complaints</w:t>
      </w:r>
    </w:p>
    <w:p>
      <w:pPr>
        <w:widowControl w:val="1"/>
      </w:pPr>
      <w:r>
        <w:t>A user may challenge a moderation or account decision through:</w:t>
      </w:r>
    </w:p>
    <w:p>
      <w:pPr>
        <w:pStyle w:val="BulletCompact"/>
        <w:widowControl w:val="1"/>
      </w:pPr>
      <w:r>
        <w:t>Feedback → Appeal a Decision; or</w:t>
      </w:r>
    </w:p>
    <w:p>
      <w:pPr>
        <w:pStyle w:val="BulletCompact"/>
        <w:widowControl w:val="1"/>
      </w:pPr>
      <w:r>
        <w:t>the Contact Us form on the Gamify website if the user cannot access an account.</w:t>
      </w:r>
    </w:p>
    <w:p>
      <w:pPr>
        <w:widowControl w:val="1"/>
      </w:pPr>
      <w:r>
        <w:t>Appeals should explain why the decision may be incorrect and provide relevant context. Where practicable, the appeal will be reviewed by a person who was not solely responsible for the original decision.</w:t>
      </w:r>
    </w:p>
    <w:p>
      <w:pPr>
        <w:widowControl w:val="1"/>
      </w:pPr>
      <w:r>
        <w:t>Where the EU Digital Services Act applies, additional complaint or out-of-court dispute-settlement options may be available.</w:t>
      </w:r>
    </w:p>
    <w:p>
      <w:pPr>
        <w:pStyle w:val="Heading1"/>
        <w:widowControl w:val="1"/>
      </w:pPr>
      <w:r>
        <w:t>15. Changes to these Guidelines</w:t>
      </w:r>
    </w:p>
    <w:p>
      <w:pPr>
        <w:widowControl w:val="1"/>
      </w:pPr>
      <w:r>
        <w:t>Gamify may update these Guidelines to reflect new features, safety risks, legal requirements or operational experience. Each published version will show a version number, publication date and effective date.</w:t>
      </w:r>
    </w:p>
    <w:p>
      <w:pPr>
        <w:widowControl w:val="1"/>
      </w:pPr>
      <w:r>
        <w:t>When a material update requires renewed acceptance, users will be asked to accept the new version before continuing to use affected interactive features. Previous versions and acceptance records will remain available in the platform’s version history.</w:t>
      </w:r>
    </w:p>
    <w:p>
      <w:pPr>
        <w:pStyle w:val="Heading1"/>
        <w:widowControl w:val="1"/>
      </w:pPr>
      <w:r>
        <w:t>16. Contact</w:t>
      </w:r>
    </w:p>
    <w:p>
      <w:pPr>
        <w:widowControl w:val="1"/>
      </w:pPr>
      <w:r>
        <w:t>Questions, reports or complaints concerning these Guidelines may be submitted through:</w:t>
      </w:r>
    </w:p>
    <w:p>
      <w:pPr>
        <w:pStyle w:val="BulletCompact"/>
        <w:widowControl w:val="1"/>
      </w:pPr>
      <w:r>
        <w:t>the in-app Feedback section; or</w:t>
      </w:r>
    </w:p>
    <w:p>
      <w:pPr>
        <w:pStyle w:val="BulletCompact"/>
        <w:widowControl w:val="1"/>
      </w:pPr>
      <w:r>
        <w:t>the Contact Us form on the Gamify website.</w:t>
      </w:r>
    </w:p>
    <w:p>
      <w:pPr>
        <w:widowControl w:val="1"/>
      </w:pPr>
      <w:r>
        <w:t>The Operator is Umbrella (ამბრელა), Non-Entrepreneurial (Non-Commercial) Legal Entity, registration number 400183546, registered at Leri Lagurashvili 4, 0178, Tbilisi, Georgia.</w:t>
      </w:r>
    </w:p>
    <w:p>
      <w:pPr>
        <w:pStyle w:val="Heading1"/>
        <w:widowControl w:val="1"/>
      </w:pPr>
      <w:r>
        <w:t>Appendix A — Quick examples</w:t>
      </w:r>
    </w:p>
    <w:tbl>
      <w:tblPr>
        <w:tblW w:type="auto" w:w="0"/>
        <w:jc w:val="center"/>
        <w:tblLayout w:type="fixed"/>
        <w:tblLook w:firstColumn="1" w:firstRow="1" w:lastColumn="0" w:lastRow="0" w:noHBand="0" w:noVBand="1" w:val="04A0"/>
      </w:tblPr>
      <w:tblGrid>
        <w:gridCol w:w="3331"/>
        <w:gridCol w:w="3331"/>
        <w:gridCol w:w="3331"/>
      </w:tblGrid>
      <w:tr>
        <w:trPr>
          <w:tblHeader w:val="true"/>
        </w:trPr>
        <w:tc>
          <w:tcPr>
            <w:tcW w:type="dxa" w:w="1656"/>
            <w:shd w:fill="F2EEFF"/>
            <w:tcBorders>
              <w:top w:val="single" w:sz="6" w:color="D9DDE8"/>
              <w:left w:val="single" w:sz="6" w:color="D9DDE8"/>
              <w:bottom w:val="single" w:sz="6" w:color="D9DDE8"/>
              <w:right w:val="single" w:sz="6" w:color="D9DDE8"/>
            </w:tcBorders>
          </w:tcPr>
          <w:p>
            <w:r>
              <w:rPr>
                <w:b/>
              </w:rPr>
              <w:t>Situation</w:t>
            </w:r>
          </w:p>
        </w:tc>
        <w:tc>
          <w:tcPr>
            <w:tcW w:type="dxa" w:w="3528"/>
            <w:shd w:fill="F2EEFF"/>
            <w:tcBorders>
              <w:top w:val="single" w:sz="6" w:color="D9DDE8"/>
              <w:left w:val="single" w:sz="6" w:color="D9DDE8"/>
              <w:bottom w:val="single" w:sz="6" w:color="D9DDE8"/>
              <w:right w:val="single" w:sz="6" w:color="D9DDE8"/>
            </w:tcBorders>
          </w:tcPr>
          <w:p>
            <w:r>
              <w:rPr>
                <w:b/>
              </w:rPr>
              <w:t>Allowed</w:t>
            </w:r>
          </w:p>
        </w:tc>
        <w:tc>
          <w:tcPr>
            <w:tcW w:type="dxa" w:w="4248"/>
            <w:shd w:fill="F2EEFF"/>
            <w:tcBorders>
              <w:top w:val="single" w:sz="6" w:color="D9DDE8"/>
              <w:left w:val="single" w:sz="6" w:color="D9DDE8"/>
              <w:bottom w:val="single" w:sz="6" w:color="D9DDE8"/>
              <w:right w:val="single" w:sz="6" w:color="D9DDE8"/>
            </w:tcBorders>
          </w:tcPr>
          <w:p>
            <w:r>
              <w:rPr>
                <w:b/>
              </w:rPr>
              <w:t>Not allowed</w:t>
            </w:r>
          </w:p>
        </w:tc>
      </w:tr>
      <w:tr>
        <w:tc>
          <w:tcPr>
            <w:tcW w:type="dxa" w:w="1656"/>
            <w:vAlign w:val="top"/>
            <w:tcBorders>
              <w:top w:val="single" w:sz="6" w:color="D9DDE8"/>
              <w:left w:val="single" w:sz="6" w:color="D9DDE8"/>
              <w:bottom w:val="single" w:sz="6" w:color="D9DDE8"/>
              <w:right w:val="single" w:sz="6" w:color="D9DDE8"/>
            </w:tcBorders>
          </w:tcPr>
          <w:p>
            <w:r>
              <w:t>Voting</w:t>
            </w:r>
          </w:p>
        </w:tc>
        <w:tc>
          <w:tcPr>
            <w:tcW w:type="dxa" w:w="3528"/>
            <w:vAlign w:val="top"/>
            <w:tcBorders>
              <w:top w:val="single" w:sz="6" w:color="D9DDE8"/>
              <w:left w:val="single" w:sz="6" w:color="D9DDE8"/>
              <w:bottom w:val="single" w:sz="6" w:color="D9DDE8"/>
              <w:right w:val="single" w:sz="6" w:color="D9DDE8"/>
            </w:tcBorders>
          </w:tcPr>
          <w:p>
            <w:r>
              <w:t>Encouraging everyone to participate fairly.</w:t>
            </w:r>
          </w:p>
        </w:tc>
        <w:tc>
          <w:tcPr>
            <w:tcW w:type="dxa" w:w="4248"/>
            <w:vAlign w:val="top"/>
            <w:tcBorders>
              <w:top w:val="single" w:sz="6" w:color="D9DDE8"/>
              <w:left w:val="single" w:sz="6" w:color="D9DDE8"/>
              <w:bottom w:val="single" w:sz="6" w:color="D9DDE8"/>
              <w:right w:val="single" w:sz="6" w:color="D9DDE8"/>
            </w:tcBorders>
          </w:tcPr>
          <w:p>
            <w:r>
              <w:t>Vote trading, pressure, duplicate accounts or dishonest coordination.</w:t>
            </w:r>
          </w:p>
        </w:tc>
      </w:tr>
      <w:tr>
        <w:tc>
          <w:tcPr>
            <w:tcW w:type="dxa" w:w="1656"/>
            <w:vAlign w:val="top"/>
            <w:tcBorders>
              <w:top w:val="single" w:sz="6" w:color="D9DDE8"/>
              <w:left w:val="single" w:sz="6" w:color="D9DDE8"/>
              <w:bottom w:val="single" w:sz="6" w:color="D9DDE8"/>
              <w:right w:val="single" w:sz="6" w:color="D9DDE8"/>
            </w:tcBorders>
          </w:tcPr>
          <w:p>
            <w:r>
              <w:t>QR attendance</w:t>
            </w:r>
          </w:p>
        </w:tc>
        <w:tc>
          <w:tcPr>
            <w:tcW w:type="dxa" w:w="3528"/>
            <w:vAlign w:val="top"/>
            <w:tcBorders>
              <w:top w:val="single" w:sz="6" w:color="D9DDE8"/>
              <w:left w:val="single" w:sz="6" w:color="D9DDE8"/>
              <w:bottom w:val="single" w:sz="6" w:color="D9DDE8"/>
              <w:right w:val="single" w:sz="6" w:color="D9DDE8"/>
            </w:tcBorders>
          </w:tcPr>
          <w:p>
            <w:r>
              <w:t>Checking in through your own account while present.</w:t>
            </w:r>
          </w:p>
        </w:tc>
        <w:tc>
          <w:tcPr>
            <w:tcW w:type="dxa" w:w="4248"/>
            <w:vAlign w:val="top"/>
            <w:tcBorders>
              <w:top w:val="single" w:sz="6" w:color="D9DDE8"/>
              <w:left w:val="single" w:sz="6" w:color="D9DDE8"/>
              <w:bottom w:val="single" w:sz="6" w:color="D9DDE8"/>
              <w:right w:val="single" w:sz="6" w:color="D9DDE8"/>
            </w:tcBorders>
          </w:tcPr>
          <w:p>
            <w:r>
              <w:t>Checking in for another person or sharing access to fake attendance.</w:t>
            </w:r>
          </w:p>
        </w:tc>
      </w:tr>
      <w:tr>
        <w:tc>
          <w:tcPr>
            <w:tcW w:type="dxa" w:w="1656"/>
            <w:vAlign w:val="top"/>
            <w:tcBorders>
              <w:top w:val="single" w:sz="6" w:color="D9DDE8"/>
              <w:left w:val="single" w:sz="6" w:color="D9DDE8"/>
              <w:bottom w:val="single" w:sz="6" w:color="D9DDE8"/>
              <w:right w:val="single" w:sz="6" w:color="D9DDE8"/>
            </w:tcBorders>
          </w:tcPr>
          <w:p>
            <w:r>
              <w:t>Gossip Box</w:t>
            </w:r>
          </w:p>
        </w:tc>
        <w:tc>
          <w:tcPr>
            <w:tcW w:type="dxa" w:w="3528"/>
            <w:vAlign w:val="top"/>
            <w:tcBorders>
              <w:top w:val="single" w:sz="6" w:color="D9DDE8"/>
              <w:left w:val="single" w:sz="6" w:color="D9DDE8"/>
              <w:bottom w:val="single" w:sz="6" w:color="D9DDE8"/>
              <w:right w:val="single" w:sz="6" w:color="D9DDE8"/>
            </w:tcBorders>
          </w:tcPr>
          <w:p>
            <w:r>
              <w:t>A light, respectful, non-identifying message.</w:t>
            </w:r>
          </w:p>
        </w:tc>
        <w:tc>
          <w:tcPr>
            <w:tcW w:type="dxa" w:w="4248"/>
            <w:vAlign w:val="top"/>
            <w:tcBorders>
              <w:top w:val="single" w:sz="6" w:color="D9DDE8"/>
              <w:left w:val="single" w:sz="6" w:color="D9DDE8"/>
              <w:bottom w:val="single" w:sz="6" w:color="D9DDE8"/>
              <w:right w:val="single" w:sz="6" w:color="D9DDE8"/>
            </w:tcBorders>
          </w:tcPr>
          <w:p>
            <w:r>
              <w:t>Rumours, private details, accusations, humiliation or sexual content.</w:t>
            </w:r>
          </w:p>
        </w:tc>
      </w:tr>
      <w:tr>
        <w:tc>
          <w:tcPr>
            <w:tcW w:type="dxa" w:w="1656"/>
            <w:vAlign w:val="top"/>
            <w:tcBorders>
              <w:top w:val="single" w:sz="6" w:color="D9DDE8"/>
              <w:left w:val="single" w:sz="6" w:color="D9DDE8"/>
              <w:bottom w:val="single" w:sz="6" w:color="D9DDE8"/>
              <w:right w:val="single" w:sz="6" w:color="D9DDE8"/>
            </w:tcBorders>
          </w:tcPr>
          <w:p>
            <w:r>
              <w:t>Evaluation</w:t>
            </w:r>
          </w:p>
        </w:tc>
        <w:tc>
          <w:tcPr>
            <w:tcW w:type="dxa" w:w="3528"/>
            <w:vAlign w:val="top"/>
            <w:tcBorders>
              <w:top w:val="single" w:sz="6" w:color="D9DDE8"/>
              <w:left w:val="single" w:sz="6" w:color="D9DDE8"/>
              <w:bottom w:val="single" w:sz="6" w:color="D9DDE8"/>
              <w:right w:val="single" w:sz="6" w:color="D9DDE8"/>
            </w:tcBorders>
          </w:tcPr>
          <w:p>
            <w:r>
              <w:t>Independent and honest feedback.</w:t>
            </w:r>
          </w:p>
        </w:tc>
        <w:tc>
          <w:tcPr>
            <w:tcW w:type="dxa" w:w="4248"/>
            <w:vAlign w:val="top"/>
            <w:tcBorders>
              <w:top w:val="single" w:sz="6" w:color="D9DDE8"/>
              <w:left w:val="single" w:sz="6" w:color="D9DDE8"/>
              <w:bottom w:val="single" w:sz="6" w:color="D9DDE8"/>
              <w:right w:val="single" w:sz="6" w:color="D9DDE8"/>
            </w:tcBorders>
          </w:tcPr>
          <w:p>
            <w:r>
              <w:t>Pressure to give positive answers or retaliation for criticism.</w:t>
            </w:r>
          </w:p>
        </w:tc>
      </w:tr>
      <w:tr>
        <w:tc>
          <w:tcPr>
            <w:tcW w:type="dxa" w:w="1656"/>
            <w:vAlign w:val="top"/>
            <w:tcBorders>
              <w:top w:val="single" w:sz="6" w:color="D9DDE8"/>
              <w:left w:val="single" w:sz="6" w:color="D9DDE8"/>
              <w:bottom w:val="single" w:sz="6" w:color="D9DDE8"/>
              <w:right w:val="single" w:sz="6" w:color="D9DDE8"/>
            </w:tcBorders>
          </w:tcPr>
          <w:p>
            <w:r>
              <w:t>Task upload</w:t>
            </w:r>
          </w:p>
        </w:tc>
        <w:tc>
          <w:tcPr>
            <w:tcW w:type="dxa" w:w="3528"/>
            <w:vAlign w:val="top"/>
            <w:tcBorders>
              <w:top w:val="single" w:sz="6" w:color="D9DDE8"/>
              <w:left w:val="single" w:sz="6" w:color="D9DDE8"/>
              <w:bottom w:val="single" w:sz="6" w:color="D9DDE8"/>
              <w:right w:val="single" w:sz="6" w:color="D9DDE8"/>
            </w:tcBorders>
          </w:tcPr>
          <w:p>
            <w:r>
              <w:t>Your own genuine evidence or authorised group work.</w:t>
            </w:r>
          </w:p>
        </w:tc>
        <w:tc>
          <w:tcPr>
            <w:tcW w:type="dxa" w:w="4248"/>
            <w:vAlign w:val="top"/>
            <w:tcBorders>
              <w:top w:val="single" w:sz="6" w:color="D9DDE8"/>
              <w:left w:val="single" w:sz="6" w:color="D9DDE8"/>
              <w:bottom w:val="single" w:sz="6" w:color="D9DDE8"/>
              <w:right w:val="single" w:sz="6" w:color="D9DDE8"/>
            </w:tcBorders>
          </w:tcPr>
          <w:p>
            <w:r>
              <w:t>Fabricated evidence, plagiarism or another person’s submission.</w:t>
            </w:r>
          </w:p>
        </w:tc>
      </w:tr>
      <w:tr>
        <w:tc>
          <w:tcPr>
            <w:tcW w:type="dxa" w:w="1656"/>
            <w:vAlign w:val="top"/>
            <w:tcBorders>
              <w:top w:val="single" w:sz="6" w:color="D9DDE8"/>
              <w:left w:val="single" w:sz="6" w:color="D9DDE8"/>
              <w:bottom w:val="single" w:sz="6" w:color="D9DDE8"/>
              <w:right w:val="single" w:sz="6" w:color="D9DDE8"/>
            </w:tcBorders>
          </w:tcPr>
          <w:p>
            <w:r>
              <w:t>Photos</w:t>
            </w:r>
          </w:p>
        </w:tc>
        <w:tc>
          <w:tcPr>
            <w:tcW w:type="dxa" w:w="3528"/>
            <w:vAlign w:val="top"/>
            <w:tcBorders>
              <w:top w:val="single" w:sz="6" w:color="D9DDE8"/>
              <w:left w:val="single" w:sz="6" w:color="D9DDE8"/>
              <w:bottom w:val="single" w:sz="6" w:color="D9DDE8"/>
              <w:right w:val="single" w:sz="6" w:color="D9DDE8"/>
            </w:tcBorders>
          </w:tcPr>
          <w:p>
            <w:r>
              <w:t>Sharing with the required project permission.</w:t>
            </w:r>
          </w:p>
        </w:tc>
        <w:tc>
          <w:tcPr>
            <w:tcW w:type="dxa" w:w="4248"/>
            <w:vAlign w:val="top"/>
            <w:tcBorders>
              <w:top w:val="single" w:sz="6" w:color="D9DDE8"/>
              <w:left w:val="single" w:sz="6" w:color="D9DDE8"/>
              <w:bottom w:val="single" w:sz="6" w:color="D9DDE8"/>
              <w:right w:val="single" w:sz="6" w:color="D9DDE8"/>
            </w:tcBorders>
          </w:tcPr>
          <w:p>
            <w:r>
              <w:t>Posting another person’s image or a minor’s image without permission.</w:t>
            </w:r>
          </w:p>
        </w:tc>
      </w:tr>
      <w:tr>
        <w:tc>
          <w:tcPr>
            <w:tcW w:type="dxa" w:w="1656"/>
            <w:vAlign w:val="top"/>
            <w:tcBorders>
              <w:top w:val="single" w:sz="6" w:color="D9DDE8"/>
              <w:left w:val="single" w:sz="6" w:color="D9DDE8"/>
              <w:bottom w:val="single" w:sz="6" w:color="D9DDE8"/>
              <w:right w:val="single" w:sz="6" w:color="D9DDE8"/>
            </w:tcBorders>
          </w:tcPr>
          <w:p>
            <w:r>
              <w:t>Reporting</w:t>
            </w:r>
          </w:p>
        </w:tc>
        <w:tc>
          <w:tcPr>
            <w:tcW w:type="dxa" w:w="3528"/>
            <w:vAlign w:val="top"/>
            <w:tcBorders>
              <w:top w:val="single" w:sz="6" w:color="D9DDE8"/>
              <w:left w:val="single" w:sz="6" w:color="D9DDE8"/>
              <w:bottom w:val="single" w:sz="6" w:color="D9DDE8"/>
              <w:right w:val="single" w:sz="6" w:color="D9DDE8"/>
            </w:tcBorders>
          </w:tcPr>
          <w:p>
            <w:r>
              <w:t>A good-faith report with relevant context.</w:t>
            </w:r>
          </w:p>
        </w:tc>
        <w:tc>
          <w:tcPr>
            <w:tcW w:type="dxa" w:w="4248"/>
            <w:vAlign w:val="top"/>
            <w:tcBorders>
              <w:top w:val="single" w:sz="6" w:color="D9DDE8"/>
              <w:left w:val="single" w:sz="6" w:color="D9DDE8"/>
              <w:bottom w:val="single" w:sz="6" w:color="D9DDE8"/>
              <w:right w:val="single" w:sz="6" w:color="D9DDE8"/>
            </w:tcBorders>
          </w:tcPr>
          <w:p>
            <w:r>
              <w:t>A knowingly false report intended to punish or silence someone.</w:t>
            </w:r>
          </w:p>
        </w:tc>
      </w:tr>
    </w:tbl>
    <w:p>
      <w:pPr>
        <w:spacing w:before="140"/>
      </w:pPr>
      <w:r>
        <w:rPr>
          <w:b/>
          <w:color w:val="C96B00"/>
        </w:rPr>
        <w:t xml:space="preserve">Publication note: </w:t>
      </w:r>
      <w:r>
        <w:t>Before publication, confirm the platform’s safeguarding process, emergency escalation workflow, age/parental-consent rules, moderation permissions and exact classification under any applicable digital-services law.</w:t>
      </w:r>
    </w:p>
    <w:sectPr w:rsidR="00FC693F" w:rsidRPr="0006063C" w:rsidSect="00034616">
      <w:headerReference w:type="default" r:id="rId9"/>
      <w:footerReference w:type="default" r:id="rId10"/>
      <w:pgSz w:w="12240" w:h="15840"/>
      <w:pgMar w:top="936" w:right="1123" w:bottom="936" w:left="1123" w:header="403" w:footer="43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D6476"/>
        <w:sz w:val="14"/>
      </w:rPr>
      <w:t xml:space="preserve">EU-oriented and Georgia-oriented operational draft  |  </w:t>
    </w:r>
    <w:r>
      <w:fldChar w:fldCharType="begin"/>
      <w:instrText xml:space="preserve">PAGE</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pPr>
    <w:r>
      <w:rPr>
        <w:rFonts w:ascii="Aptos" w:hAnsi="Aptos"/>
        <w:b/>
        <w:color w:val="5B2EEA"/>
        <w:sz w:val="15"/>
      </w:rPr>
      <w:t>GAMIFY  |  COMMUNITY GUIDELINES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line="259" w:lineRule="auto"/>
    </w:pPr>
    <w:rPr>
      <w:rFonts w:ascii="Aptos" w:hAnsi="Aptos" w:eastAsia="Aptos"/>
      <w:color w:val="17213B"/>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80"/>
      <w:outlineLvl w:val="0"/>
    </w:pPr>
    <w:rPr>
      <w:rFonts w:asciiTheme="majorHAnsi" w:eastAsiaTheme="majorEastAsia" w:hAnsiTheme="majorHAnsi" w:cstheme="majorBidi" w:ascii="Aptos Display" w:hAnsi="Aptos Display" w:eastAsia="Aptos Display"/>
      <w:b/>
      <w:bCs/>
      <w:color w:val="5B2EEA"/>
      <w:sz w:val="31"/>
      <w:szCs w:val="28"/>
    </w:rPr>
  </w:style>
  <w:style w:type="paragraph" w:styleId="Heading2">
    <w:name w:val="heading 2"/>
    <w:basedOn w:val="Normal"/>
    <w:next w:val="Normal"/>
    <w:link w:val="Heading2Char"/>
    <w:uiPriority w:val="9"/>
    <w:unhideWhenUsed/>
    <w:qFormat/>
    <w:rsid w:val="00FC693F"/>
    <w:pPr>
      <w:keepNext/>
      <w:keepLines/>
      <w:spacing w:before="160" w:after="80"/>
      <w:outlineLvl w:val="1"/>
    </w:pPr>
    <w:rPr>
      <w:rFonts w:asciiTheme="majorHAnsi" w:eastAsiaTheme="majorEastAsia" w:hAnsiTheme="majorHAnsi" w:cstheme="majorBidi" w:ascii="Aptos" w:hAnsi="Aptos" w:eastAsia="Aptos"/>
      <w:b/>
      <w:bCs/>
      <w:color w:val="17213B"/>
      <w:sz w:val="23"/>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ascii="Aptos" w:hAnsi="Aptos" w:eastAsia="Aptos"/>
      <w:b/>
      <w:bCs/>
      <w:color w:val="5B2EE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80" w:line="240" w:lineRule="auto" w:before="0"/>
      <w:contextualSpacing/>
    </w:pPr>
    <w:rPr>
      <w:rFonts w:asciiTheme="majorHAnsi" w:eastAsiaTheme="majorEastAsia" w:hAnsiTheme="majorHAnsi" w:cstheme="majorBidi" w:ascii="Aptos Display" w:hAnsi="Aptos Display" w:eastAsia="Aptos Display"/>
      <w:b/>
      <w:color w:val="17213B"/>
      <w:spacing w:val="5"/>
      <w:kern w:val="28"/>
      <w:sz w:val="5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mallNote">
    <w:name w:val="Small Note"/>
    <w:pPr>
      <w:spacing w:after="40"/>
    </w:pPr>
    <w:rPr>
      <w:rFonts w:ascii="Aptos" w:hAnsi="Aptos"/>
      <w:color w:val="5D6476"/>
      <w:sz w:val="16"/>
    </w:rPr>
  </w:style>
  <w:style w:type="paragraph" w:customStyle="1" w:styleId="BulletCompact">
    <w:name w:val="Bullet Compact"/>
    <w:basedOn w:val="ListBullet"/>
    <w:pPr>
      <w:spacing w:after="30" w:line="245" w:lineRule="auto"/>
      <w:ind w:left="317" w:hanging="202"/>
    </w:pPr>
    <w:rPr>
      <w:rFonts w:ascii="Aptos" w:hAnsi="Aptos"/>
      <w:color w:val="17213B"/>
      <w:sz w:val="18"/>
    </w:rPr>
  </w:style>
  <w:style w:type="paragraph" w:customStyle="1" w:styleId="NumberCompact">
    <w:name w:val="Number Compact"/>
    <w:basedOn w:val="ListNumber"/>
    <w:pPr>
      <w:spacing w:after="30"/>
      <w:ind w:left="317" w:hanging="202"/>
    </w:pPr>
    <w:rPr>
      <w:rFonts w:ascii="Aptos" w:hAnsi="Aptos"/>
      <w:color w:val="17213B"/>
      <w:sz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yperlink" Target="https://eur-lex.europa.eu/eli/reg/2022/2065/oj/eng" TargetMode="External"/><Relationship Id="rId12" Type="http://schemas.openxmlformats.org/officeDocument/2006/relationships/hyperlink" Target="https://digital-strategy.ec.europa.eu/en/library/commission-publishes-guidelines-protection-minors" TargetMode="External"/><Relationship Id="rId13" Type="http://schemas.openxmlformats.org/officeDocument/2006/relationships/hyperlink" Target="https://matsne.gov.ge/en/document/view/5827307" TargetMode="External"/><Relationship Id="rId14" Type="http://schemas.openxmlformats.org/officeDocument/2006/relationships/hyperlink" Target="https://matsne.gov.ge/en/document/download/4613854/1/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Gamify Community Guidelines v1.0</dc:title>
  <dc:subject>Community conduct, safety, safeguarding, scoring integrity and moderation rules for Gamify</dc:subject>
  <dc:creator>Umbrella</dc:creator>
  <cp:keywords>Gamify, Community Guidelines, youth work, safety, DSA, safeguarding, moderation</cp:keywords>
  <dc:description>generated by python-docx</dc:description>
  <cp:lastModifiedBy/>
  <cp:revision>1</cp:revision>
  <dcterms:created xsi:type="dcterms:W3CDTF">2013-12-23T23:15:00Z</dcterms:created>
  <dcterms:modified xsi:type="dcterms:W3CDTF">2013-12-23T23:15:00Z</dcterms:modified>
  <cp:category/>
</cp:coreProperties>
</file>